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D" w:rsidRDefault="000B243D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E76" w:rsidRDefault="004C5E76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E76" w:rsidRDefault="004C5E76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Default="00517A52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A52" w:rsidRPr="004C5E76" w:rsidRDefault="00517A52" w:rsidP="00853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E76">
        <w:rPr>
          <w:rFonts w:ascii="Times New Roman" w:hAnsi="Times New Roman" w:cs="Times New Roman"/>
          <w:b/>
          <w:sz w:val="28"/>
          <w:szCs w:val="28"/>
        </w:rPr>
        <w:t>13 декабрь 2018й                            №223/34                      13 декабря 2018г</w:t>
      </w:r>
    </w:p>
    <w:p w:rsidR="000B243D" w:rsidRPr="00B836D5" w:rsidRDefault="00A652ED" w:rsidP="00517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243D" w:rsidRPr="00B836D5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B243D" w:rsidRPr="00B836D5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C70B85" w:rsidRPr="00B836D5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C70B85" w:rsidRPr="00B836D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B243D" w:rsidRPr="00B836D5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70B85" w:rsidRPr="00B836D5">
        <w:rPr>
          <w:rFonts w:ascii="Times New Roman" w:hAnsi="Times New Roman" w:cs="Times New Roman"/>
          <w:b/>
          <w:sz w:val="28"/>
          <w:szCs w:val="28"/>
        </w:rPr>
        <w:t>Янаульского</w:t>
      </w:r>
      <w:proofErr w:type="spellEnd"/>
      <w:r w:rsidRPr="00B836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B243D" w:rsidRPr="00B836D5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B243D" w:rsidRPr="004012A2" w:rsidRDefault="000B243D" w:rsidP="00517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B83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70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B243D" w:rsidRPr="004012A2" w:rsidRDefault="000B243D" w:rsidP="00B83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B243D" w:rsidRDefault="000B243D" w:rsidP="00B83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70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B243D" w:rsidRPr="00D21C0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0B243D" w:rsidRPr="00B01D37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243D" w:rsidRPr="0045642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C70B8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proofErr w:type="spellStart"/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Федерации";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Pr="00102B9F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C70B85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представительного 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схода граждан должно содержать: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C7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B243D" w:rsidRPr="00102B9F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B243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B243D" w:rsidRPr="00646B49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0B243D" w:rsidRPr="00F45A91" w:rsidRDefault="008F7CA7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0B243D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43D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B243D" w:rsidRPr="008C115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8C115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Pr="0011038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B243D" w:rsidRPr="0036082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lastRenderedPageBreak/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Pr="0036082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9F14E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B243D" w:rsidRPr="0074420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B243D" w:rsidRPr="0074420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0B243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Pr="00360820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B243D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D" w:rsidRPr="00360820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0B243D" w:rsidRPr="00360820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360820">
        <w:rPr>
          <w:rFonts w:ascii="Times New Roman" w:hAnsi="Times New Roman" w:cs="Times New Roman"/>
          <w:sz w:val="28"/>
          <w:szCs w:val="28"/>
        </w:rPr>
        <w:t xml:space="preserve">населённого пункта, входящего в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 xml:space="preserve">населённого пункта, входящего в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0B243D" w:rsidRPr="00AF442E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1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8F7CA7" w:rsidRPr="008F7CA7" w:rsidRDefault="008F7CA7" w:rsidP="008F7C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A7">
        <w:rPr>
          <w:rFonts w:ascii="Times New Roman" w:hAnsi="Times New Roman" w:cs="Times New Roman"/>
          <w:b/>
          <w:sz w:val="28"/>
          <w:szCs w:val="28"/>
        </w:rPr>
        <w:t>3.</w:t>
      </w:r>
      <w:r w:rsidRPr="008F7CA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F7CA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F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F7CA7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8F7CA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F7CA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F7C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7C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8F7CA7">
        <w:rPr>
          <w:rFonts w:ascii="Times New Roman" w:hAnsi="Times New Roman" w:cs="Times New Roman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7CA7">
        <w:rPr>
          <w:rFonts w:ascii="Times New Roman" w:hAnsi="Times New Roman" w:cs="Times New Roman"/>
          <w:sz w:val="28"/>
          <w:szCs w:val="28"/>
        </w:rPr>
        <w:t>3  после его государственной регистрации.</w:t>
      </w:r>
    </w:p>
    <w:p w:rsidR="008F7CA7" w:rsidRDefault="008F7CA7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604" w:rsidRDefault="00853A87" w:rsidP="0085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3A87" w:rsidRPr="00853A87" w:rsidRDefault="00853A87" w:rsidP="0085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C776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853A87" w:rsidRDefault="00853A87" w:rsidP="00853A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7E2" w:rsidRDefault="006237E2"/>
    <w:sectPr w:rsidR="006237E2" w:rsidSect="00B7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43D"/>
    <w:rsid w:val="000B243D"/>
    <w:rsid w:val="00406114"/>
    <w:rsid w:val="00453818"/>
    <w:rsid w:val="00480725"/>
    <w:rsid w:val="004C5E76"/>
    <w:rsid w:val="005002B6"/>
    <w:rsid w:val="00517A52"/>
    <w:rsid w:val="005B51EF"/>
    <w:rsid w:val="006237E2"/>
    <w:rsid w:val="00853A87"/>
    <w:rsid w:val="008F7CA7"/>
    <w:rsid w:val="00932981"/>
    <w:rsid w:val="00A652ED"/>
    <w:rsid w:val="00AE6AB6"/>
    <w:rsid w:val="00AF68BE"/>
    <w:rsid w:val="00B70C7E"/>
    <w:rsid w:val="00B836D5"/>
    <w:rsid w:val="00BB3847"/>
    <w:rsid w:val="00C70B85"/>
    <w:rsid w:val="00C77604"/>
    <w:rsid w:val="00D5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3D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0B243D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0B243D"/>
    <w:rPr>
      <w:rFonts w:eastAsiaTheme="minorHAnsi"/>
      <w:color w:val="00000A"/>
      <w:lang w:eastAsia="en-US"/>
    </w:rPr>
  </w:style>
  <w:style w:type="character" w:styleId="a6">
    <w:name w:val="Hyperlink"/>
    <w:basedOn w:val="a0"/>
    <w:uiPriority w:val="99"/>
    <w:semiHidden/>
    <w:unhideWhenUsed/>
    <w:rsid w:val="00853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1492-0953-4FE9-B43E-58C2A3F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2018-12-21T11:47:00Z</cp:lastPrinted>
  <dcterms:created xsi:type="dcterms:W3CDTF">2018-11-02T09:56:00Z</dcterms:created>
  <dcterms:modified xsi:type="dcterms:W3CDTF">2018-12-21T11:51:00Z</dcterms:modified>
</cp:coreProperties>
</file>