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76" w:rsidRDefault="00556D76" w:rsidP="00833F79">
      <w:pPr>
        <w:spacing w:after="0" w:line="240" w:lineRule="auto"/>
        <w:rPr>
          <w:rFonts w:ascii="Times New Roman" w:hAnsi="Times New Roman" w:cs="Times New Roman"/>
        </w:rPr>
      </w:pPr>
    </w:p>
    <w:p w:rsidR="00833F79" w:rsidRDefault="00833F79" w:rsidP="00833F79">
      <w:pPr>
        <w:spacing w:after="0" w:line="240" w:lineRule="auto"/>
        <w:rPr>
          <w:rFonts w:ascii="Times New Roman" w:hAnsi="Times New Roman" w:cs="Times New Roman"/>
        </w:rPr>
      </w:pPr>
    </w:p>
    <w:p w:rsidR="00833F79" w:rsidRDefault="00833F79" w:rsidP="00833F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285932" w:rsidTr="00285932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85932" w:rsidRDefault="00285932">
            <w:pPr>
              <w:spacing w:after="0" w:line="240" w:lineRule="auto"/>
              <w:ind w:right="-108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Ҡ</w:t>
            </w:r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285932" w:rsidRDefault="00285932">
            <w:pPr>
              <w:spacing w:after="0" w:line="240" w:lineRule="auto"/>
              <w:ind w:right="-108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85932" w:rsidRDefault="00285932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285932" w:rsidRDefault="00285932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>
              <w:rPr>
                <w:rFonts w:ascii="Century Bash" w:hAnsi="Century Bash"/>
                <w:b/>
                <w:sz w:val="24"/>
              </w:rPr>
              <w:t>h</w:t>
            </w:r>
            <w:proofErr w:type="gramEnd"/>
            <w:r>
              <w:rPr>
                <w:rFonts w:ascii="Century Bash" w:hAnsi="Century Bash"/>
                <w:b/>
                <w:sz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285932" w:rsidRDefault="0028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285932" w:rsidRDefault="002859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85932" w:rsidRDefault="00285932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285932" w:rsidRDefault="00285932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285932" w:rsidRDefault="00285932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285932" w:rsidRDefault="00285932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285932" w:rsidRDefault="00285932">
            <w:pPr>
              <w:keepNext/>
              <w:spacing w:after="0" w:line="240" w:lineRule="auto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  <w:sz w:val="24"/>
              </w:rPr>
              <w:t xml:space="preserve"> </w:t>
            </w:r>
          </w:p>
          <w:p w:rsidR="00285932" w:rsidRDefault="00285932">
            <w:pPr>
              <w:keepNext/>
              <w:spacing w:after="0" w:line="240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285932" w:rsidRDefault="00285932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85932" w:rsidRDefault="00285932" w:rsidP="002859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285932" w:rsidRDefault="00285932" w:rsidP="0028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932" w:rsidRDefault="00285932" w:rsidP="00285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833F79" w:rsidRDefault="00833F79" w:rsidP="00833F79">
      <w:pPr>
        <w:spacing w:after="0" w:line="240" w:lineRule="auto"/>
        <w:rPr>
          <w:rFonts w:ascii="Times New Roman" w:hAnsi="Times New Roman" w:cs="Times New Roman"/>
        </w:rPr>
      </w:pPr>
    </w:p>
    <w:p w:rsidR="00833F79" w:rsidRPr="00833F79" w:rsidRDefault="00833F79" w:rsidP="00833F79">
      <w:pPr>
        <w:spacing w:after="0" w:line="240" w:lineRule="auto"/>
        <w:rPr>
          <w:rFonts w:ascii="Times New Roman" w:hAnsi="Times New Roman" w:cs="Times New Roman"/>
        </w:rPr>
      </w:pPr>
    </w:p>
    <w:p w:rsidR="00833F79" w:rsidRPr="00833F79" w:rsidRDefault="00833F79" w:rsidP="00833F79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21 декабрь 2018 </w:t>
      </w:r>
      <w:proofErr w:type="spellStart"/>
      <w:r w:rsidRPr="00833F7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33F79">
        <w:rPr>
          <w:rFonts w:ascii="Times New Roman" w:hAnsi="Times New Roman" w:cs="Times New Roman"/>
          <w:b/>
          <w:sz w:val="28"/>
          <w:szCs w:val="28"/>
        </w:rPr>
        <w:t>.                                 № 67                          21 декабря 2018 г.</w:t>
      </w:r>
    </w:p>
    <w:p w:rsidR="00833F79" w:rsidRPr="00833F79" w:rsidRDefault="00833F79" w:rsidP="00833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79" w:rsidRP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</w:t>
      </w:r>
    </w:p>
    <w:p w:rsidR="00833F79" w:rsidRP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833F79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833F7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33F79" w:rsidRP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33F79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833F7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от 18 декабря 2017 года № 50 </w:t>
      </w:r>
    </w:p>
    <w:p w:rsidR="00833F79" w:rsidRPr="00833F79" w:rsidRDefault="00833F79" w:rsidP="003D7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главных администраторов </w:t>
      </w:r>
    </w:p>
    <w:p w:rsidR="00833F79" w:rsidRP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833F79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833F7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33F79" w:rsidRP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33F79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833F7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3F79" w:rsidRP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а также состава закрепляемых за ними кодов </w:t>
      </w:r>
    </w:p>
    <w:p w:rsidR="00833F79" w:rsidRP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b/>
          <w:sz w:val="28"/>
          <w:szCs w:val="28"/>
        </w:rPr>
        <w:t xml:space="preserve">классификации доходов бюджета» </w:t>
      </w:r>
    </w:p>
    <w:p w:rsidR="00833F79" w:rsidRPr="00833F79" w:rsidRDefault="00833F79" w:rsidP="00833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79" w:rsidRPr="00833F79" w:rsidRDefault="00833F79" w:rsidP="0083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79">
        <w:rPr>
          <w:rFonts w:ascii="Times New Roman" w:hAnsi="Times New Roman" w:cs="Times New Roman"/>
          <w:sz w:val="28"/>
          <w:szCs w:val="28"/>
        </w:rPr>
        <w:t xml:space="preserve">        В целях своевременного зачисления в бюджет сельского поселения </w:t>
      </w:r>
      <w:proofErr w:type="spellStart"/>
      <w:r w:rsidRPr="00833F7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833F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3F7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33F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33F79">
        <w:rPr>
          <w:rFonts w:ascii="Times New Roman" w:hAnsi="Times New Roman" w:cs="Times New Roman"/>
        </w:rPr>
        <w:t xml:space="preserve"> </w:t>
      </w:r>
      <w:r w:rsidRPr="00833F79">
        <w:rPr>
          <w:rFonts w:ascii="Times New Roman" w:hAnsi="Times New Roman" w:cs="Times New Roman"/>
          <w:sz w:val="28"/>
          <w:szCs w:val="28"/>
        </w:rPr>
        <w:t xml:space="preserve">безвозмездных поступлений Администрация сельского поселения </w:t>
      </w:r>
      <w:proofErr w:type="spellStart"/>
      <w:r w:rsidRPr="00833F7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833F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3F7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833F79" w:rsidRPr="00833F79" w:rsidRDefault="00833F79" w:rsidP="0083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79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833F7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</w:t>
      </w:r>
      <w:proofErr w:type="spellStart"/>
      <w:r w:rsidRPr="00833F7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833F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3F7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33F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 декабря 2017 года № 50 «Об утверждении Перечня главных администраторов доходов бюджета сельского поселения </w:t>
      </w:r>
      <w:proofErr w:type="spellStart"/>
      <w:r w:rsidRPr="00833F7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833F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3F7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33F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  <w:r w:rsidRPr="00833F79">
        <w:rPr>
          <w:rFonts w:ascii="Times New Roman" w:hAnsi="Times New Roman" w:cs="Times New Roman"/>
        </w:rPr>
        <w:t xml:space="preserve"> </w:t>
      </w:r>
      <w:r w:rsidRPr="00833F79">
        <w:rPr>
          <w:rFonts w:ascii="Times New Roman" w:hAnsi="Times New Roman" w:cs="Times New Roman"/>
          <w:sz w:val="28"/>
          <w:szCs w:val="28"/>
        </w:rPr>
        <w:t xml:space="preserve">внести дополнение следующими кодами бюджетной классификации: </w:t>
      </w:r>
      <w:proofErr w:type="gramEnd"/>
    </w:p>
    <w:p w:rsidR="00833F79" w:rsidRPr="00833F79" w:rsidRDefault="00833F79" w:rsidP="0083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79">
        <w:rPr>
          <w:rFonts w:ascii="Times New Roman" w:hAnsi="Times New Roman" w:cs="Times New Roman"/>
          <w:sz w:val="28"/>
          <w:szCs w:val="28"/>
        </w:rPr>
        <w:t xml:space="preserve">         791 2 07 05030 10 6100 180 «Прочие безвозмездные поступления в бюджеты сельских поселений (прочие поступления)».</w:t>
      </w:r>
    </w:p>
    <w:p w:rsidR="00833F79" w:rsidRPr="00833F79" w:rsidRDefault="00833F79" w:rsidP="0083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F79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33F79">
        <w:rPr>
          <w:rFonts w:ascii="Times New Roman" w:hAnsi="Times New Roman" w:cs="Times New Roman"/>
          <w:sz w:val="28"/>
        </w:rPr>
        <w:t>Контроль за</w:t>
      </w:r>
      <w:proofErr w:type="gramEnd"/>
      <w:r w:rsidRPr="00833F79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833F79" w:rsidRPr="00833F79" w:rsidRDefault="00833F79" w:rsidP="0083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3F79" w:rsidRPr="00833F79" w:rsidRDefault="00833F79" w:rsidP="0083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3F79" w:rsidRPr="00833F79" w:rsidRDefault="00833F79" w:rsidP="0083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7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833F79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833F79" w:rsidRPr="006B2EFB" w:rsidRDefault="00833F79" w:rsidP="00833F79">
      <w:pPr>
        <w:autoSpaceDE w:val="0"/>
        <w:autoSpaceDN w:val="0"/>
        <w:adjustRightInd w:val="0"/>
        <w:spacing w:after="0"/>
        <w:jc w:val="both"/>
        <w:rPr>
          <w:sz w:val="28"/>
        </w:rPr>
      </w:pPr>
    </w:p>
    <w:p w:rsidR="00833F79" w:rsidRDefault="00833F79" w:rsidP="00833F79">
      <w:pPr>
        <w:spacing w:line="312" w:lineRule="auto"/>
        <w:rPr>
          <w:sz w:val="26"/>
          <w:szCs w:val="26"/>
        </w:rPr>
      </w:pPr>
    </w:p>
    <w:p w:rsidR="00833F79" w:rsidRDefault="00833F79"/>
    <w:sectPr w:rsidR="00833F79" w:rsidSect="0028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F79"/>
    <w:rsid w:val="00285932"/>
    <w:rsid w:val="003D75E4"/>
    <w:rsid w:val="00556D76"/>
    <w:rsid w:val="00833F79"/>
    <w:rsid w:val="00E3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2018-12-28T10:22:00Z</cp:lastPrinted>
  <dcterms:created xsi:type="dcterms:W3CDTF">2018-12-21T09:29:00Z</dcterms:created>
  <dcterms:modified xsi:type="dcterms:W3CDTF">2018-12-28T10:22:00Z</dcterms:modified>
</cp:coreProperties>
</file>